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262" w:rsidRPr="00773CD5" w:rsidRDefault="00C56262" w:rsidP="00C56262">
      <w:pPr>
        <w:pStyle w:val="NormalWeb"/>
        <w:spacing w:before="0" w:beforeAutospacing="0" w:after="0" w:afterAutospacing="0"/>
        <w:jc w:val="center"/>
        <w:rPr>
          <w:rFonts w:asciiTheme="minorHAnsi" w:hAnsiTheme="minorHAnsi"/>
          <w:b/>
          <w:noProof/>
        </w:rPr>
      </w:pPr>
      <w:bookmarkStart w:id="0" w:name="_GoBack"/>
      <w:bookmarkEnd w:id="0"/>
      <w:r w:rsidRPr="00773CD5">
        <w:rPr>
          <w:rFonts w:asciiTheme="minorHAnsi" w:hAnsiTheme="minorHAnsi"/>
          <w:b/>
          <w:noProof/>
        </w:rPr>
        <w:t>Central California Educational Opportunity Center</w:t>
      </w:r>
    </w:p>
    <w:p w:rsidR="00C56262" w:rsidRPr="00773CD5" w:rsidRDefault="00C56262" w:rsidP="00C56262">
      <w:pPr>
        <w:pStyle w:val="NormalWeb"/>
        <w:spacing w:before="0" w:beforeAutospacing="0" w:after="0" w:afterAutospacing="0"/>
        <w:jc w:val="center"/>
        <w:rPr>
          <w:rFonts w:asciiTheme="minorHAnsi" w:hAnsiTheme="minorHAnsi"/>
          <w:noProof/>
          <w:sz w:val="22"/>
          <w:szCs w:val="22"/>
        </w:rPr>
      </w:pPr>
      <w:r w:rsidRPr="00773CD5">
        <w:rPr>
          <w:rFonts w:asciiTheme="minorHAnsi" w:hAnsiTheme="minorHAnsi"/>
          <w:noProof/>
          <w:sz w:val="22"/>
          <w:szCs w:val="22"/>
        </w:rPr>
        <w:t>General Economic Eligibility Guidelines for 2012-2013</w:t>
      </w:r>
    </w:p>
    <w:p w:rsidR="00C56262" w:rsidRPr="002247E6" w:rsidRDefault="00773CD5" w:rsidP="00773CD5">
      <w:pPr>
        <w:pStyle w:val="NormalWeb"/>
        <w:tabs>
          <w:tab w:val="left" w:pos="5328"/>
        </w:tabs>
        <w:spacing w:before="0" w:beforeAutospacing="0" w:after="0" w:afterAutospacing="0"/>
        <w:rPr>
          <w:rFonts w:asciiTheme="minorHAnsi" w:hAnsiTheme="minorHAnsi"/>
          <w:noProof/>
          <w:sz w:val="20"/>
          <w:szCs w:val="20"/>
        </w:rPr>
      </w:pPr>
      <w:r w:rsidRPr="00773CD5">
        <w:rPr>
          <w:rFonts w:asciiTheme="minorHAnsi" w:hAnsiTheme="minorHAnsi"/>
          <w:noProof/>
        </w:rPr>
        <w:tab/>
      </w:r>
    </w:p>
    <w:p w:rsidR="00C56262" w:rsidRPr="00773CD5" w:rsidRDefault="00C56262" w:rsidP="00996845">
      <w:pPr>
        <w:pStyle w:val="NormalWeb"/>
        <w:spacing w:before="0" w:beforeAutospacing="0" w:after="0" w:afterAutospacing="0"/>
        <w:jc w:val="center"/>
        <w:rPr>
          <w:rFonts w:asciiTheme="minorHAnsi" w:hAnsiTheme="minorHAnsi"/>
          <w:b/>
          <w:noProof/>
          <w:sz w:val="22"/>
          <w:szCs w:val="22"/>
          <w:u w:val="single"/>
        </w:rPr>
      </w:pPr>
      <w:r w:rsidRPr="00773CD5">
        <w:rPr>
          <w:rFonts w:asciiTheme="minorHAnsi" w:hAnsiTheme="minorHAnsi"/>
          <w:b/>
          <w:noProof/>
          <w:sz w:val="22"/>
          <w:szCs w:val="22"/>
          <w:u w:val="single"/>
        </w:rPr>
        <w:t>Income Guidelines</w:t>
      </w:r>
    </w:p>
    <w:p w:rsidR="00773CD5" w:rsidRPr="002247E6" w:rsidRDefault="00773CD5" w:rsidP="00C56262">
      <w:pPr>
        <w:pStyle w:val="NormalWeb"/>
        <w:spacing w:before="0" w:beforeAutospacing="0" w:after="0" w:afterAutospacing="0"/>
        <w:rPr>
          <w:rFonts w:asciiTheme="minorHAnsi" w:hAnsiTheme="minorHAnsi"/>
          <w:noProof/>
          <w:sz w:val="20"/>
          <w:szCs w:val="20"/>
        </w:rPr>
      </w:pPr>
    </w:p>
    <w:p w:rsidR="00773CD5" w:rsidRPr="00773CD5" w:rsidRDefault="00C56262" w:rsidP="00C56262">
      <w:pPr>
        <w:pStyle w:val="NormalWeb"/>
        <w:spacing w:before="0" w:beforeAutospacing="0" w:after="0" w:afterAutospacing="0"/>
        <w:rPr>
          <w:rFonts w:asciiTheme="minorHAnsi" w:hAnsiTheme="minorHAnsi"/>
          <w:noProof/>
          <w:sz w:val="22"/>
          <w:szCs w:val="22"/>
        </w:rPr>
      </w:pPr>
      <w:r w:rsidRPr="00773CD5">
        <w:rPr>
          <w:rFonts w:asciiTheme="minorHAnsi" w:hAnsiTheme="minorHAnsi"/>
          <w:noProof/>
          <w:sz w:val="22"/>
          <w:szCs w:val="22"/>
        </w:rPr>
        <w:t xml:space="preserve">The table below lists economic eligibility requirements for </w:t>
      </w:r>
      <w:r w:rsidR="00773CD5" w:rsidRPr="00773CD5">
        <w:rPr>
          <w:rFonts w:asciiTheme="minorHAnsi" w:hAnsiTheme="minorHAnsi"/>
          <w:noProof/>
          <w:sz w:val="22"/>
          <w:szCs w:val="22"/>
        </w:rPr>
        <w:t>CC</w:t>
      </w:r>
      <w:r w:rsidRPr="00773CD5">
        <w:rPr>
          <w:rFonts w:asciiTheme="minorHAnsi" w:hAnsiTheme="minorHAnsi"/>
          <w:noProof/>
          <w:sz w:val="22"/>
          <w:szCs w:val="22"/>
        </w:rPr>
        <w:t xml:space="preserve">EOC </w:t>
      </w:r>
      <w:r w:rsidR="00773CD5" w:rsidRPr="00773CD5">
        <w:rPr>
          <w:rFonts w:asciiTheme="minorHAnsi" w:hAnsiTheme="minorHAnsi"/>
          <w:noProof/>
          <w:sz w:val="22"/>
          <w:szCs w:val="22"/>
        </w:rPr>
        <w:t xml:space="preserve">program </w:t>
      </w:r>
      <w:r w:rsidRPr="00773CD5">
        <w:rPr>
          <w:rFonts w:asciiTheme="minorHAnsi" w:hAnsiTheme="minorHAnsi"/>
          <w:noProof/>
          <w:sz w:val="22"/>
          <w:szCs w:val="22"/>
        </w:rPr>
        <w:t>admission during the 2013-2014 academic year.  In order to be determined economic</w:t>
      </w:r>
      <w:r w:rsidR="00773CD5" w:rsidRPr="00773CD5">
        <w:rPr>
          <w:rFonts w:asciiTheme="minorHAnsi" w:hAnsiTheme="minorHAnsi"/>
          <w:noProof/>
          <w:sz w:val="22"/>
          <w:szCs w:val="22"/>
        </w:rPr>
        <w:t xml:space="preserve"> status</w:t>
      </w:r>
      <w:r w:rsidRPr="00773CD5">
        <w:rPr>
          <w:rFonts w:asciiTheme="minorHAnsi" w:hAnsiTheme="minorHAnsi"/>
          <w:noProof/>
          <w:sz w:val="22"/>
          <w:szCs w:val="22"/>
        </w:rPr>
        <w:t>, an individual’s household income must not exceed the amount shown for its size in the applicable category</w:t>
      </w:r>
      <w:r w:rsidR="00773CD5" w:rsidRPr="00773CD5">
        <w:rPr>
          <w:rFonts w:asciiTheme="minorHAnsi" w:hAnsiTheme="minorHAnsi"/>
          <w:noProof/>
          <w:sz w:val="22"/>
          <w:szCs w:val="22"/>
        </w:rPr>
        <w:t>.</w:t>
      </w:r>
    </w:p>
    <w:p w:rsidR="00773CD5" w:rsidRPr="002247E6" w:rsidRDefault="00773CD5" w:rsidP="00C56262">
      <w:pPr>
        <w:pStyle w:val="NormalWeb"/>
        <w:spacing w:before="0" w:beforeAutospacing="0" w:after="0" w:afterAutospacing="0"/>
        <w:rPr>
          <w:rFonts w:asciiTheme="minorHAnsi" w:hAnsiTheme="minorHAnsi"/>
          <w:noProof/>
          <w:sz w:val="16"/>
          <w:szCs w:val="16"/>
        </w:rPr>
      </w:pPr>
    </w:p>
    <w:tbl>
      <w:tblPr>
        <w:tblW w:w="0" w:type="auto"/>
        <w:tblCellSpacing w:w="15" w:type="dxa"/>
        <w:tblCellMar>
          <w:top w:w="15" w:type="dxa"/>
          <w:left w:w="15" w:type="dxa"/>
          <w:bottom w:w="15" w:type="dxa"/>
          <w:right w:w="15" w:type="dxa"/>
        </w:tblCellMar>
        <w:tblLook w:val="04A0" w:firstRow="1" w:lastRow="0" w:firstColumn="1" w:lastColumn="0" w:noHBand="0" w:noVBand="1"/>
        <w:tblDescription w:val="2008 Annual Low Income Levels"/>
      </w:tblPr>
      <w:tblGrid>
        <w:gridCol w:w="1719"/>
        <w:gridCol w:w="6435"/>
        <w:gridCol w:w="785"/>
        <w:gridCol w:w="799"/>
      </w:tblGrid>
      <w:tr w:rsidR="00773CD5" w:rsidRPr="00145052" w:rsidTr="00DA51E1">
        <w:trPr>
          <w:tblCellSpacing w:w="15" w:type="dxa"/>
        </w:trPr>
        <w:tc>
          <w:tcPr>
            <w:tcW w:w="0" w:type="auto"/>
            <w:gridSpan w:val="4"/>
            <w:tcBorders>
              <w:top w:val="nil"/>
              <w:left w:val="nil"/>
              <w:bottom w:val="nil"/>
              <w:right w:val="nil"/>
            </w:tcBorders>
            <w:vAlign w:val="center"/>
            <w:hideMark/>
          </w:tcPr>
          <w:p w:rsidR="00773CD5" w:rsidRPr="00145052" w:rsidRDefault="00773CD5" w:rsidP="00DA51E1">
            <w:pPr>
              <w:spacing w:after="0" w:line="240" w:lineRule="auto"/>
              <w:jc w:val="center"/>
              <w:rPr>
                <w:rFonts w:eastAsia="Times New Roman" w:cs="Times New Roman"/>
              </w:rPr>
            </w:pPr>
            <w:r w:rsidRPr="00145052">
              <w:rPr>
                <w:rFonts w:eastAsia="Times New Roman" w:cs="Times New Roman"/>
              </w:rPr>
              <w:t xml:space="preserve">Federal TRIO Programs </w:t>
            </w:r>
            <w:r w:rsidRPr="00145052">
              <w:rPr>
                <w:rFonts w:eastAsia="Times New Roman" w:cs="Times New Roman"/>
              </w:rPr>
              <w:br/>
              <w:t xml:space="preserve">2013 Annual Low Income Levels </w:t>
            </w:r>
            <w:r w:rsidRPr="00145052">
              <w:rPr>
                <w:rFonts w:eastAsia="Times New Roman" w:cs="Times New Roman"/>
              </w:rPr>
              <w:br/>
              <w:t>(Effective January 24, 2013)</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jc w:val="center"/>
              <w:rPr>
                <w:rFonts w:eastAsia="Times New Roman" w:cs="Times New Roman"/>
                <w:b/>
                <w:bCs/>
              </w:rPr>
            </w:pPr>
            <w:r w:rsidRPr="00145052">
              <w:rPr>
                <w:rFonts w:eastAsia="Times New Roman" w:cs="Times New Roman"/>
                <w:b/>
                <w:bCs/>
              </w:rPr>
              <w:t>Size of Family Unit</w:t>
            </w:r>
          </w:p>
        </w:tc>
        <w:tc>
          <w:tcPr>
            <w:tcW w:w="0" w:type="auto"/>
            <w:vAlign w:val="center"/>
            <w:hideMark/>
          </w:tcPr>
          <w:p w:rsidR="00773CD5" w:rsidRPr="00145052" w:rsidRDefault="00773CD5" w:rsidP="00DA51E1">
            <w:pPr>
              <w:spacing w:after="0" w:line="240" w:lineRule="auto"/>
              <w:jc w:val="center"/>
              <w:rPr>
                <w:rFonts w:eastAsia="Times New Roman" w:cs="Times New Roman"/>
                <w:b/>
                <w:bCs/>
              </w:rPr>
            </w:pPr>
            <w:r w:rsidRPr="00145052">
              <w:rPr>
                <w:rFonts w:eastAsia="Times New Roman" w:cs="Times New Roman"/>
                <w:b/>
                <w:bCs/>
              </w:rPr>
              <w:t>Contiguous 48 States, the District of Columbia and Outlying Jurisdictions</w:t>
            </w:r>
          </w:p>
        </w:tc>
        <w:tc>
          <w:tcPr>
            <w:tcW w:w="0" w:type="auto"/>
            <w:vAlign w:val="center"/>
            <w:hideMark/>
          </w:tcPr>
          <w:p w:rsidR="00773CD5" w:rsidRPr="00145052" w:rsidRDefault="00773CD5" w:rsidP="00DA51E1">
            <w:pPr>
              <w:spacing w:after="0" w:line="240" w:lineRule="auto"/>
              <w:jc w:val="center"/>
              <w:rPr>
                <w:rFonts w:eastAsia="Times New Roman" w:cs="Times New Roman"/>
                <w:b/>
                <w:bCs/>
              </w:rPr>
            </w:pPr>
            <w:r w:rsidRPr="00145052">
              <w:rPr>
                <w:rFonts w:eastAsia="Times New Roman" w:cs="Times New Roman"/>
                <w:b/>
                <w:bCs/>
              </w:rPr>
              <w:t>Alaska</w:t>
            </w:r>
          </w:p>
        </w:tc>
        <w:tc>
          <w:tcPr>
            <w:tcW w:w="0" w:type="auto"/>
            <w:vAlign w:val="center"/>
            <w:hideMark/>
          </w:tcPr>
          <w:p w:rsidR="00773CD5" w:rsidRPr="00145052" w:rsidRDefault="00773CD5" w:rsidP="00DA51E1">
            <w:pPr>
              <w:spacing w:after="0" w:line="240" w:lineRule="auto"/>
              <w:jc w:val="center"/>
              <w:rPr>
                <w:rFonts w:eastAsia="Times New Roman" w:cs="Times New Roman"/>
                <w:b/>
                <w:bCs/>
              </w:rPr>
            </w:pPr>
            <w:r w:rsidRPr="00145052">
              <w:rPr>
                <w:rFonts w:eastAsia="Times New Roman" w:cs="Times New Roman"/>
                <w:b/>
                <w:bCs/>
              </w:rPr>
              <w:t>Hawaii</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1</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$17.235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$21.525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$19,845</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2</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$23,265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$29,070</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$26,775</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3</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$29,295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$36,615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$33,705</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4</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$35,325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$44,160</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$40,635</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5</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$41,355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$51,705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$47,565</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6</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$47,385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$59,250</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$54,495</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7</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$53,415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$66,795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$61,425</w:t>
            </w:r>
          </w:p>
        </w:tc>
      </w:tr>
      <w:tr w:rsidR="00773CD5" w:rsidRPr="00145052" w:rsidTr="00DA51E1">
        <w:trPr>
          <w:tblCellSpacing w:w="15" w:type="dxa"/>
        </w:trPr>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8</w:t>
            </w:r>
          </w:p>
        </w:tc>
        <w:tc>
          <w:tcPr>
            <w:tcW w:w="0" w:type="auto"/>
            <w:vAlign w:val="center"/>
            <w:hideMark/>
          </w:tcPr>
          <w:p w:rsidR="00773CD5" w:rsidRPr="00145052" w:rsidRDefault="00773CD5" w:rsidP="00773CD5">
            <w:pPr>
              <w:spacing w:after="0" w:line="240" w:lineRule="auto"/>
              <w:jc w:val="center"/>
              <w:rPr>
                <w:rFonts w:eastAsia="Times New Roman" w:cs="Times New Roman"/>
              </w:rPr>
            </w:pPr>
            <w:r w:rsidRPr="00145052">
              <w:rPr>
                <w:rFonts w:eastAsia="Times New Roman" w:cs="Times New Roman"/>
              </w:rPr>
              <w:t>$59,445</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$74,340</w:t>
            </w:r>
          </w:p>
        </w:tc>
        <w:tc>
          <w:tcPr>
            <w:tcW w:w="0" w:type="auto"/>
            <w:vAlign w:val="center"/>
            <w:hideMark/>
          </w:tcPr>
          <w:p w:rsidR="00773CD5" w:rsidRPr="00145052" w:rsidRDefault="00773CD5" w:rsidP="00DA51E1">
            <w:pPr>
              <w:spacing w:after="0" w:line="240" w:lineRule="auto"/>
              <w:rPr>
                <w:rFonts w:eastAsia="Times New Roman" w:cs="Times New Roman"/>
              </w:rPr>
            </w:pPr>
            <w:r w:rsidRPr="00145052">
              <w:rPr>
                <w:rFonts w:eastAsia="Times New Roman" w:cs="Times New Roman"/>
              </w:rPr>
              <w:t>$68,355</w:t>
            </w:r>
          </w:p>
        </w:tc>
      </w:tr>
    </w:tbl>
    <w:p w:rsidR="00773CD5" w:rsidRPr="00145052" w:rsidRDefault="00773CD5" w:rsidP="00773CD5">
      <w:pPr>
        <w:spacing w:before="100" w:beforeAutospacing="1" w:after="100" w:afterAutospacing="1" w:line="240" w:lineRule="auto"/>
        <w:rPr>
          <w:rFonts w:eastAsia="Times New Roman" w:cs="Times New Roman"/>
          <w:sz w:val="20"/>
          <w:szCs w:val="20"/>
        </w:rPr>
      </w:pPr>
      <w:r w:rsidRPr="00145052">
        <w:rPr>
          <w:rFonts w:eastAsia="Times New Roman" w:cs="Times New Roman"/>
          <w:sz w:val="20"/>
          <w:szCs w:val="20"/>
        </w:rPr>
        <w:t>Family units with more than eight members, add the following amount for each additional family member: $6,030 for the 48 contiguous states, the District of Columbia and outlying jurisdictions; $7,545 for Alaska; and $6,930 for Hawaii.</w:t>
      </w:r>
    </w:p>
    <w:p w:rsidR="00996845" w:rsidRDefault="00996845" w:rsidP="002247E6">
      <w:pPr>
        <w:spacing w:after="0" w:line="240" w:lineRule="auto"/>
        <w:jc w:val="center"/>
        <w:rPr>
          <w:rFonts w:eastAsia="Times New Roman" w:cs="Times New Roman"/>
          <w:b/>
        </w:rPr>
      </w:pPr>
      <w:r w:rsidRPr="00996845">
        <w:rPr>
          <w:rFonts w:eastAsia="Times New Roman" w:cs="Times New Roman"/>
          <w:b/>
        </w:rPr>
        <w:t>Definitions: Per U. S. Department of Education</w:t>
      </w:r>
    </w:p>
    <w:p w:rsidR="002247E6" w:rsidRPr="002247E6" w:rsidRDefault="002247E6" w:rsidP="002247E6">
      <w:pPr>
        <w:spacing w:after="0" w:line="240" w:lineRule="auto"/>
        <w:jc w:val="center"/>
        <w:rPr>
          <w:rFonts w:eastAsia="Times New Roman" w:cs="Times New Roman"/>
          <w:b/>
          <w:sz w:val="20"/>
          <w:szCs w:val="20"/>
        </w:rPr>
      </w:pPr>
    </w:p>
    <w:p w:rsidR="00773CD5" w:rsidRDefault="00773CD5" w:rsidP="002247E6">
      <w:pPr>
        <w:spacing w:after="0" w:line="240" w:lineRule="auto"/>
        <w:rPr>
          <w:rFonts w:eastAsia="Times New Roman" w:cs="Times New Roman"/>
        </w:rPr>
      </w:pPr>
      <w:r w:rsidRPr="00145052">
        <w:rPr>
          <w:rFonts w:eastAsia="Times New Roman" w:cs="Times New Roman"/>
          <w:b/>
        </w:rPr>
        <w:t>“</w:t>
      </w:r>
      <w:r w:rsidR="00996845" w:rsidRPr="00996845">
        <w:rPr>
          <w:rFonts w:eastAsia="Times New Roman" w:cs="Times New Roman"/>
          <w:b/>
        </w:rPr>
        <w:t>L</w:t>
      </w:r>
      <w:r w:rsidRPr="00145052">
        <w:rPr>
          <w:rFonts w:eastAsia="Times New Roman" w:cs="Times New Roman"/>
          <w:b/>
        </w:rPr>
        <w:t>ow-income individual”</w:t>
      </w:r>
      <w:r w:rsidRPr="00145052">
        <w:rPr>
          <w:rFonts w:eastAsia="Times New Roman" w:cs="Times New Roman"/>
        </w:rPr>
        <w:t xml:space="preserve"> means an individual whose </w:t>
      </w:r>
      <w:r w:rsidRPr="00145052">
        <w:rPr>
          <w:rFonts w:eastAsia="Times New Roman" w:cs="Times New Roman"/>
          <w:b/>
        </w:rPr>
        <w:t>family’s taxable income</w:t>
      </w:r>
      <w:r w:rsidRPr="00145052">
        <w:rPr>
          <w:rFonts w:eastAsia="Times New Roman" w:cs="Times New Roman"/>
        </w:rPr>
        <w:t xml:space="preserve"> for the preceding year did not exceed 150% of the poverty level amount.</w:t>
      </w:r>
    </w:p>
    <w:p w:rsidR="002247E6" w:rsidRPr="002247E6" w:rsidRDefault="002247E6" w:rsidP="002247E6">
      <w:pPr>
        <w:spacing w:after="0" w:line="240" w:lineRule="auto"/>
        <w:rPr>
          <w:rFonts w:eastAsia="Times New Roman" w:cs="Times New Roman"/>
          <w:sz w:val="16"/>
          <w:szCs w:val="16"/>
        </w:rPr>
      </w:pPr>
    </w:p>
    <w:p w:rsidR="00996845" w:rsidRDefault="00996845" w:rsidP="002247E6">
      <w:pPr>
        <w:spacing w:after="0" w:line="240" w:lineRule="auto"/>
        <w:rPr>
          <w:rFonts w:eastAsia="Times New Roman" w:cs="Times New Roman"/>
        </w:rPr>
      </w:pPr>
      <w:r w:rsidRPr="00996845">
        <w:rPr>
          <w:rFonts w:eastAsia="Times New Roman" w:cs="Times New Roman"/>
          <w:b/>
        </w:rPr>
        <w:t>“First Generation College Student”</w:t>
      </w:r>
      <w:r>
        <w:rPr>
          <w:rFonts w:eastAsia="Times New Roman" w:cs="Times New Roman"/>
        </w:rPr>
        <w:t xml:space="preserve"> means </w:t>
      </w:r>
      <w:r w:rsidRPr="00996845">
        <w:rPr>
          <w:rFonts w:eastAsia="Times New Roman" w:cs="Times New Roman"/>
        </w:rPr>
        <w:t xml:space="preserve">(a) an individual both of whose parents did not complete a baccalaureate degree; or (b) in the case of any individual who regularly resided with and received support from only one parent, an individual whose only such parent did not complete a baccalaureate degree. </w:t>
      </w:r>
    </w:p>
    <w:p w:rsidR="002247E6" w:rsidRPr="00996845" w:rsidRDefault="002247E6" w:rsidP="002247E6">
      <w:pPr>
        <w:spacing w:after="0" w:line="240" w:lineRule="auto"/>
        <w:rPr>
          <w:rFonts w:eastAsia="Times New Roman" w:cs="Times New Roman"/>
          <w:sz w:val="16"/>
          <w:szCs w:val="16"/>
        </w:rPr>
      </w:pPr>
    </w:p>
    <w:p w:rsidR="00996845" w:rsidRDefault="002247E6" w:rsidP="002247E6">
      <w:pPr>
        <w:spacing w:after="0" w:line="240" w:lineRule="auto"/>
        <w:rPr>
          <w:rFonts w:eastAsia="Times New Roman" w:cs="Times New Roman"/>
        </w:rPr>
      </w:pPr>
      <w:r w:rsidRPr="00996845">
        <w:rPr>
          <w:rFonts w:eastAsia="Times New Roman" w:cs="Times New Roman"/>
          <w:b/>
        </w:rPr>
        <w:t xml:space="preserve"> </w:t>
      </w:r>
      <w:r w:rsidR="00996845" w:rsidRPr="00996845">
        <w:rPr>
          <w:rFonts w:eastAsia="Times New Roman" w:cs="Times New Roman"/>
          <w:b/>
        </w:rPr>
        <w:t>“Homeless”</w:t>
      </w:r>
      <w:r w:rsidR="00996845" w:rsidRPr="00996845">
        <w:rPr>
          <w:rFonts w:eastAsia="Times New Roman" w:cs="Times New Roman"/>
        </w:rPr>
        <w:t xml:space="preserve"> are persons defined in section 725 of the McKinney-Vento Homeless Assis</w:t>
      </w:r>
      <w:r w:rsidR="00996845">
        <w:rPr>
          <w:rFonts w:eastAsia="Times New Roman" w:cs="Times New Roman"/>
        </w:rPr>
        <w:t>tance Act (42 U.S.C. 11434 (a)).</w:t>
      </w:r>
    </w:p>
    <w:p w:rsidR="002247E6" w:rsidRPr="002247E6" w:rsidRDefault="002247E6" w:rsidP="002247E6">
      <w:pPr>
        <w:spacing w:after="0" w:line="240" w:lineRule="auto"/>
        <w:rPr>
          <w:rFonts w:eastAsia="Times New Roman" w:cs="Times New Roman"/>
          <w:sz w:val="16"/>
          <w:szCs w:val="16"/>
        </w:rPr>
      </w:pPr>
    </w:p>
    <w:p w:rsidR="002247E6" w:rsidRDefault="002247E6" w:rsidP="002247E6">
      <w:pPr>
        <w:spacing w:after="0" w:line="240" w:lineRule="auto"/>
        <w:rPr>
          <w:rFonts w:eastAsia="Times New Roman" w:cs="Times New Roman"/>
        </w:rPr>
      </w:pPr>
      <w:r w:rsidRPr="002247E6">
        <w:rPr>
          <w:rFonts w:eastAsia="Times New Roman" w:cs="Times New Roman"/>
          <w:b/>
        </w:rPr>
        <w:t>“Military-Connected Student”</w:t>
      </w:r>
      <w:r w:rsidRPr="002247E6">
        <w:rPr>
          <w:rFonts w:eastAsia="Times New Roman" w:cs="Times New Roman"/>
        </w:rPr>
        <w:t xml:space="preserve"> means a child participating in an early learning program, a student in preschool through grade 12, or a student enrolled in postsecondary education or training who has a parent or guardian on active duty in the uniformed services (as defined by 37 U.S.C. 101, in the Army, Navy, Air Force, Marine Corps, Coast Guard, National Guard, or the reserve component of any of the aforementioned services) or a student who is a veteran of the uniformed services, who is on active duty, or who is the spouse of an active-duty service member. </w:t>
      </w:r>
    </w:p>
    <w:p w:rsidR="002247E6" w:rsidRPr="002247E6" w:rsidRDefault="002247E6" w:rsidP="002247E6">
      <w:pPr>
        <w:spacing w:after="0" w:line="240" w:lineRule="auto"/>
        <w:rPr>
          <w:rFonts w:eastAsia="Times New Roman" w:cs="Times New Roman"/>
          <w:sz w:val="16"/>
          <w:szCs w:val="16"/>
        </w:rPr>
      </w:pPr>
    </w:p>
    <w:p w:rsidR="006E53AC" w:rsidRPr="00145052" w:rsidRDefault="002247E6" w:rsidP="00825A38">
      <w:pPr>
        <w:spacing w:after="0" w:line="240" w:lineRule="auto"/>
      </w:pPr>
      <w:r w:rsidRPr="00996845">
        <w:rPr>
          <w:rFonts w:eastAsia="Times New Roman" w:cs="Times New Roman"/>
          <w:b/>
        </w:rPr>
        <w:t>“Veteran”</w:t>
      </w:r>
      <w:r>
        <w:rPr>
          <w:rFonts w:eastAsia="Times New Roman" w:cs="Times New Roman"/>
        </w:rPr>
        <w:t xml:space="preserve"> as defined in </w:t>
      </w:r>
      <w:r w:rsidRPr="00996845">
        <w:rPr>
          <w:rFonts w:eastAsia="Times New Roman" w:cs="Times New Roman"/>
        </w:rPr>
        <w:t>§644.7(b), regardless of age, is eligible to participate in an Educational Opportunity Centers project if he or she satisfies the eligibility requirements in paragraph (a) of this section other than the age requirement in paragraph (a)(2) of this section.</w:t>
      </w:r>
      <w:r w:rsidRPr="00996845">
        <w:rPr>
          <w:rFonts w:ascii="Times New Roman" w:eastAsia="Times New Roman" w:hAnsi="Times New Roman" w:cs="Times New Roman"/>
          <w:sz w:val="24"/>
          <w:szCs w:val="24"/>
        </w:rPr>
        <w:t xml:space="preserve">  </w:t>
      </w:r>
    </w:p>
    <w:sectPr w:rsidR="006E53AC" w:rsidRPr="00145052" w:rsidSect="00E52D0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262" w:rsidRDefault="00C56262" w:rsidP="00C56262">
      <w:pPr>
        <w:spacing w:after="0" w:line="240" w:lineRule="auto"/>
      </w:pPr>
      <w:r>
        <w:separator/>
      </w:r>
    </w:p>
  </w:endnote>
  <w:endnote w:type="continuationSeparator" w:id="0">
    <w:p w:rsidR="00C56262" w:rsidRDefault="00C56262" w:rsidP="00C5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262" w:rsidRDefault="00C56262" w:rsidP="00C56262">
      <w:pPr>
        <w:spacing w:after="0" w:line="240" w:lineRule="auto"/>
      </w:pPr>
      <w:r>
        <w:separator/>
      </w:r>
    </w:p>
  </w:footnote>
  <w:footnote w:type="continuationSeparator" w:id="0">
    <w:p w:rsidR="00C56262" w:rsidRDefault="00C56262" w:rsidP="00C56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093"/>
    <w:multiLevelType w:val="hybridMultilevel"/>
    <w:tmpl w:val="B3925C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9916C3"/>
    <w:multiLevelType w:val="multilevel"/>
    <w:tmpl w:val="EDC8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00B096A"/>
    <w:multiLevelType w:val="hybridMultilevel"/>
    <w:tmpl w:val="AAA05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5507E4"/>
    <w:multiLevelType w:val="hybridMultilevel"/>
    <w:tmpl w:val="E5CED2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F63913"/>
    <w:multiLevelType w:val="hybridMultilevel"/>
    <w:tmpl w:val="346C8708"/>
    <w:lvl w:ilvl="0" w:tplc="6D84CF6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6F21A3"/>
    <w:multiLevelType w:val="hybridMultilevel"/>
    <w:tmpl w:val="5A2A9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023080"/>
    <w:multiLevelType w:val="hybridMultilevel"/>
    <w:tmpl w:val="BB427378"/>
    <w:lvl w:ilvl="0" w:tplc="CD6A10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8C36DE"/>
    <w:multiLevelType w:val="hybridMultilevel"/>
    <w:tmpl w:val="31FE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6"/>
  </w:num>
  <w:num w:numId="5">
    <w:abstractNumId w:val="3"/>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09"/>
    <w:rsid w:val="00145052"/>
    <w:rsid w:val="00217A09"/>
    <w:rsid w:val="002247E6"/>
    <w:rsid w:val="002F1F69"/>
    <w:rsid w:val="00436100"/>
    <w:rsid w:val="004847A0"/>
    <w:rsid w:val="005E22A9"/>
    <w:rsid w:val="006E53AC"/>
    <w:rsid w:val="00773CD5"/>
    <w:rsid w:val="00825A38"/>
    <w:rsid w:val="009603D7"/>
    <w:rsid w:val="00996845"/>
    <w:rsid w:val="00A75CC6"/>
    <w:rsid w:val="00C1626F"/>
    <w:rsid w:val="00C56262"/>
    <w:rsid w:val="00E52D09"/>
    <w:rsid w:val="00E91F43"/>
    <w:rsid w:val="00FC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A09"/>
    <w:rPr>
      <w:rFonts w:ascii="Tahoma" w:hAnsi="Tahoma" w:cs="Tahoma"/>
      <w:sz w:val="16"/>
      <w:szCs w:val="16"/>
    </w:rPr>
  </w:style>
  <w:style w:type="paragraph" w:styleId="NormalWeb">
    <w:name w:val="Normal (Web)"/>
    <w:basedOn w:val="Normal"/>
    <w:uiPriority w:val="99"/>
    <w:semiHidden/>
    <w:unhideWhenUsed/>
    <w:rsid w:val="005E22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22A9"/>
    <w:rPr>
      <w:b/>
      <w:bCs/>
    </w:rPr>
  </w:style>
  <w:style w:type="paragraph" w:customStyle="1" w:styleId="null1">
    <w:name w:val="null1"/>
    <w:basedOn w:val="Normal"/>
    <w:rsid w:val="005E22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6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62"/>
  </w:style>
  <w:style w:type="paragraph" w:styleId="Footer">
    <w:name w:val="footer"/>
    <w:basedOn w:val="Normal"/>
    <w:link w:val="FooterChar"/>
    <w:uiPriority w:val="99"/>
    <w:unhideWhenUsed/>
    <w:rsid w:val="00C56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A09"/>
    <w:rPr>
      <w:rFonts w:ascii="Tahoma" w:hAnsi="Tahoma" w:cs="Tahoma"/>
      <w:sz w:val="16"/>
      <w:szCs w:val="16"/>
    </w:rPr>
  </w:style>
  <w:style w:type="paragraph" w:styleId="NormalWeb">
    <w:name w:val="Normal (Web)"/>
    <w:basedOn w:val="Normal"/>
    <w:uiPriority w:val="99"/>
    <w:semiHidden/>
    <w:unhideWhenUsed/>
    <w:rsid w:val="005E22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22A9"/>
    <w:rPr>
      <w:b/>
      <w:bCs/>
    </w:rPr>
  </w:style>
  <w:style w:type="paragraph" w:customStyle="1" w:styleId="null1">
    <w:name w:val="null1"/>
    <w:basedOn w:val="Normal"/>
    <w:rsid w:val="005E22A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6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262"/>
  </w:style>
  <w:style w:type="paragraph" w:styleId="Footer">
    <w:name w:val="footer"/>
    <w:basedOn w:val="Normal"/>
    <w:link w:val="FooterChar"/>
    <w:uiPriority w:val="99"/>
    <w:unhideWhenUsed/>
    <w:rsid w:val="00C56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7351">
      <w:bodyDiv w:val="1"/>
      <w:marLeft w:val="0"/>
      <w:marRight w:val="0"/>
      <w:marTop w:val="0"/>
      <w:marBottom w:val="0"/>
      <w:divBdr>
        <w:top w:val="none" w:sz="0" w:space="0" w:color="auto"/>
        <w:left w:val="none" w:sz="0" w:space="0" w:color="auto"/>
        <w:bottom w:val="none" w:sz="0" w:space="0" w:color="auto"/>
        <w:right w:val="none" w:sz="0" w:space="0" w:color="auto"/>
      </w:divBdr>
    </w:div>
    <w:div w:id="1677221422">
      <w:bodyDiv w:val="1"/>
      <w:marLeft w:val="0"/>
      <w:marRight w:val="0"/>
      <w:marTop w:val="0"/>
      <w:marBottom w:val="0"/>
      <w:divBdr>
        <w:top w:val="none" w:sz="0" w:space="0" w:color="auto"/>
        <w:left w:val="none" w:sz="0" w:space="0" w:color="auto"/>
        <w:bottom w:val="none" w:sz="0" w:space="0" w:color="auto"/>
        <w:right w:val="none" w:sz="0" w:space="0" w:color="auto"/>
      </w:divBdr>
      <w:divsChild>
        <w:div w:id="159809187">
          <w:marLeft w:val="0"/>
          <w:marRight w:val="0"/>
          <w:marTop w:val="100"/>
          <w:marBottom w:val="100"/>
          <w:divBdr>
            <w:top w:val="none" w:sz="0" w:space="0" w:color="auto"/>
            <w:left w:val="none" w:sz="0" w:space="0" w:color="auto"/>
            <w:bottom w:val="none" w:sz="0" w:space="0" w:color="auto"/>
            <w:right w:val="none" w:sz="0" w:space="0" w:color="auto"/>
          </w:divBdr>
          <w:divsChild>
            <w:div w:id="453446730">
              <w:marLeft w:val="0"/>
              <w:marRight w:val="0"/>
              <w:marTop w:val="0"/>
              <w:marBottom w:val="0"/>
              <w:divBdr>
                <w:top w:val="none" w:sz="0" w:space="0" w:color="auto"/>
                <w:left w:val="none" w:sz="0" w:space="0" w:color="auto"/>
                <w:bottom w:val="none" w:sz="0" w:space="0" w:color="auto"/>
                <w:right w:val="none" w:sz="0" w:space="0" w:color="auto"/>
              </w:divBdr>
              <w:divsChild>
                <w:div w:id="2060854732">
                  <w:marLeft w:val="0"/>
                  <w:marRight w:val="0"/>
                  <w:marTop w:val="0"/>
                  <w:marBottom w:val="0"/>
                  <w:divBdr>
                    <w:top w:val="none" w:sz="0" w:space="0" w:color="auto"/>
                    <w:left w:val="none" w:sz="0" w:space="0" w:color="auto"/>
                    <w:bottom w:val="none" w:sz="0" w:space="0" w:color="auto"/>
                    <w:right w:val="none" w:sz="0" w:space="0" w:color="auto"/>
                  </w:divBdr>
                  <w:divsChild>
                    <w:div w:id="1881429288">
                      <w:marLeft w:val="0"/>
                      <w:marRight w:val="0"/>
                      <w:marTop w:val="100"/>
                      <w:marBottom w:val="225"/>
                      <w:divBdr>
                        <w:top w:val="none" w:sz="0" w:space="0" w:color="auto"/>
                        <w:left w:val="none" w:sz="0" w:space="0" w:color="auto"/>
                        <w:bottom w:val="none" w:sz="0" w:space="0" w:color="auto"/>
                        <w:right w:val="none" w:sz="0" w:space="0" w:color="auto"/>
                      </w:divBdr>
                      <w:divsChild>
                        <w:div w:id="307174552">
                          <w:marLeft w:val="0"/>
                          <w:marRight w:val="0"/>
                          <w:marTop w:val="0"/>
                          <w:marBottom w:val="0"/>
                          <w:divBdr>
                            <w:top w:val="none" w:sz="0" w:space="0" w:color="auto"/>
                            <w:left w:val="none" w:sz="0" w:space="0" w:color="auto"/>
                            <w:bottom w:val="none" w:sz="0" w:space="0" w:color="auto"/>
                            <w:right w:val="none" w:sz="0" w:space="0" w:color="auto"/>
                          </w:divBdr>
                        </w:div>
                        <w:div w:id="2121338787">
                          <w:marLeft w:val="0"/>
                          <w:marRight w:val="0"/>
                          <w:marTop w:val="0"/>
                          <w:marBottom w:val="0"/>
                          <w:divBdr>
                            <w:top w:val="none" w:sz="0" w:space="0" w:color="auto"/>
                            <w:left w:val="none" w:sz="0" w:space="0" w:color="auto"/>
                            <w:bottom w:val="none" w:sz="0" w:space="0" w:color="auto"/>
                            <w:right w:val="none" w:sz="0" w:space="0" w:color="auto"/>
                          </w:divBdr>
                        </w:div>
                        <w:div w:id="18185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ssdefault</dc:creator>
  <cp:lastModifiedBy>cosstemp-01</cp:lastModifiedBy>
  <cp:revision>2</cp:revision>
  <cp:lastPrinted>2013-07-12T22:06:00Z</cp:lastPrinted>
  <dcterms:created xsi:type="dcterms:W3CDTF">2013-07-15T17:55:00Z</dcterms:created>
  <dcterms:modified xsi:type="dcterms:W3CDTF">2013-07-15T17:55:00Z</dcterms:modified>
</cp:coreProperties>
</file>